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62" w:rsidRDefault="00FE5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162" w:rsidRDefault="00FE5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162" w:rsidRDefault="00FE5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62" w:rsidRDefault="00FE5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162" w:rsidRDefault="00E5729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FE5162" w:rsidRDefault="00E5729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FE5162" w:rsidRDefault="00E5729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:rsidR="00FE5162" w:rsidRDefault="00E5729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«26» июня 2020 года № 35-од</w:t>
      </w:r>
    </w:p>
    <w:p w:rsidR="00FE5162" w:rsidRDefault="00FE5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162" w:rsidRDefault="00FE5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162" w:rsidRDefault="00E572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E5162" w:rsidRDefault="00E57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:rsidR="00FE5162" w:rsidRDefault="00E57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</w:t>
      </w:r>
      <w:r>
        <w:rPr>
          <w:rFonts w:ascii="Times New Roman" w:hAnsi="Times New Roman" w:cs="Times New Roman"/>
          <w:sz w:val="24"/>
          <w:szCs w:val="24"/>
        </w:rPr>
        <w:t>потребительского микрозайма в 3 квартале 2020 года</w:t>
      </w:r>
    </w:p>
    <w:p w:rsidR="00FE5162" w:rsidRDefault="00FE51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5162" w:rsidRDefault="00E5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FE5162" w:rsidRDefault="00FE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:rsidR="00FE5162" w:rsidRDefault="00FE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 регистрация на территории Российской Федерации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чительство)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займом начинают начисляться со дня, следующего за днем предоставления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:rsidR="00FE5162" w:rsidRDefault="00FE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FE5162" w:rsidRDefault="00E57291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FE5162" w:rsidRDefault="00E57291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FE5162" w:rsidRDefault="00E57291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займом с погашением суммы основного долга при внесении последнего платежа)</w:t>
            </w:r>
          </w:p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FE5162" w:rsidRDefault="00E57291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FE5162" w:rsidRDefault="00E57291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:rsidR="00FE5162" w:rsidRDefault="00E57291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:rsidR="00FE5162" w:rsidRDefault="00E57291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:rsidR="00FE5162" w:rsidRDefault="00E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FE5162" w:rsidRDefault="00E57291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:rsidR="00FE5162" w:rsidRDefault="00FE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:rsidR="00FE5162" w:rsidRDefault="00FE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95 % годовых по потребительским договорам займа с обеспечением в виде залог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FE5162" w:rsidRDefault="00E572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128 % годовых по договорам потребительского займа с иным обеспечением со срокам займа до 365 дней, а также от 30 до 66 % годовых по тем же договорам со сроком займа свыше 365 дней.</w:t>
            </w:r>
          </w:p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 займа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FE5162" w:rsidRDefault="00E57291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</w:t>
            </w:r>
            <w:r>
              <w:rPr>
                <w:color w:val="000000"/>
              </w:rPr>
              <w:t>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</w:t>
            </w:r>
            <w:r>
              <w:rPr>
                <w:color w:val="000000"/>
              </w:rPr>
              <w:t>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FE5162" w:rsidRDefault="00E57291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</w:t>
            </w:r>
            <w:r>
              <w:rPr>
                <w:color w:val="000000"/>
              </w:rPr>
              <w:t xml:space="preserve">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</w:t>
            </w:r>
            <w:r>
              <w:rPr>
                <w:color w:val="000000"/>
              </w:rPr>
              <w:t>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зврат суммы займа и процентов.</w:t>
            </w:r>
          </w:p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суммы долга при  внесении последнего платежа согласно графику платежей).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возврата заемщиком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заемщи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йма с момента получения индивидуальных условий договора займа и до момента их подписания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потребительского займа.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(если заем предоставляется на срок до одного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года)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займа в одностороннем не производится.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которой заемщик получает доходы, величина доходов может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что увеличивает риск невозврата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 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:rsidR="00FE5162" w:rsidRDefault="00FE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цели.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получения заемщиком соответствующего запроса займодавца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FE5162" w:rsidRDefault="00E57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займа и не урегулированные в добровольном порядке, подлежат рассматрению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FE5162">
        <w:tc>
          <w:tcPr>
            <w:tcW w:w="675" w:type="dxa"/>
          </w:tcPr>
          <w:p w:rsidR="00FE5162" w:rsidRDefault="00E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FE5162" w:rsidRDefault="00E57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:rsidR="00FE5162" w:rsidRDefault="00E57291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FE5162" w:rsidRDefault="00FE5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162" w:rsidRDefault="00FE5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162" w:rsidRDefault="00FE5162"/>
    <w:sectPr w:rsidR="00FE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91" w:rsidRDefault="00E57291">
      <w:pPr>
        <w:spacing w:after="0" w:line="240" w:lineRule="auto"/>
      </w:pPr>
      <w:r>
        <w:separator/>
      </w:r>
    </w:p>
  </w:endnote>
  <w:endnote w:type="continuationSeparator" w:id="0">
    <w:p w:rsidR="00E57291" w:rsidRDefault="00E5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91" w:rsidRDefault="00E57291">
      <w:pPr>
        <w:spacing w:after="0" w:line="240" w:lineRule="auto"/>
      </w:pPr>
      <w:r>
        <w:separator/>
      </w:r>
    </w:p>
  </w:footnote>
  <w:footnote w:type="continuationSeparator" w:id="0">
    <w:p w:rsidR="00E57291" w:rsidRDefault="00E5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01F0"/>
    <w:multiLevelType w:val="multilevel"/>
    <w:tmpl w:val="95B0F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9483C"/>
    <w:multiLevelType w:val="hybridMultilevel"/>
    <w:tmpl w:val="AF3049DE"/>
    <w:lvl w:ilvl="0" w:tplc="54B6657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9A01D32">
      <w:start w:val="1"/>
      <w:numFmt w:val="lowerLetter"/>
      <w:lvlText w:val="%2."/>
      <w:lvlJc w:val="left"/>
      <w:pPr>
        <w:ind w:left="1440" w:hanging="360"/>
      </w:pPr>
    </w:lvl>
    <w:lvl w:ilvl="2" w:tplc="86645056">
      <w:start w:val="1"/>
      <w:numFmt w:val="lowerRoman"/>
      <w:lvlText w:val="%3."/>
      <w:lvlJc w:val="right"/>
      <w:pPr>
        <w:ind w:left="2160" w:hanging="180"/>
      </w:pPr>
    </w:lvl>
    <w:lvl w:ilvl="3" w:tplc="6520EB30">
      <w:start w:val="1"/>
      <w:numFmt w:val="decimal"/>
      <w:lvlText w:val="%4."/>
      <w:lvlJc w:val="left"/>
      <w:pPr>
        <w:ind w:left="2880" w:hanging="360"/>
      </w:pPr>
    </w:lvl>
    <w:lvl w:ilvl="4" w:tplc="4ED25CEA">
      <w:start w:val="1"/>
      <w:numFmt w:val="lowerLetter"/>
      <w:lvlText w:val="%5."/>
      <w:lvlJc w:val="left"/>
      <w:pPr>
        <w:ind w:left="3600" w:hanging="360"/>
      </w:pPr>
    </w:lvl>
    <w:lvl w:ilvl="5" w:tplc="F508F9FE">
      <w:start w:val="1"/>
      <w:numFmt w:val="lowerRoman"/>
      <w:lvlText w:val="%6."/>
      <w:lvlJc w:val="right"/>
      <w:pPr>
        <w:ind w:left="4320" w:hanging="180"/>
      </w:pPr>
    </w:lvl>
    <w:lvl w:ilvl="6" w:tplc="0BF4E8C8">
      <w:start w:val="1"/>
      <w:numFmt w:val="decimal"/>
      <w:lvlText w:val="%7."/>
      <w:lvlJc w:val="left"/>
      <w:pPr>
        <w:ind w:left="5040" w:hanging="360"/>
      </w:pPr>
    </w:lvl>
    <w:lvl w:ilvl="7" w:tplc="CFAEDE00">
      <w:start w:val="1"/>
      <w:numFmt w:val="lowerLetter"/>
      <w:lvlText w:val="%8."/>
      <w:lvlJc w:val="left"/>
      <w:pPr>
        <w:ind w:left="5760" w:hanging="360"/>
      </w:pPr>
    </w:lvl>
    <w:lvl w:ilvl="8" w:tplc="5010DE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51E"/>
    <w:multiLevelType w:val="hybridMultilevel"/>
    <w:tmpl w:val="B8D8E25A"/>
    <w:lvl w:ilvl="0" w:tplc="3A8ED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0CAF00">
      <w:start w:val="1"/>
      <w:numFmt w:val="lowerLetter"/>
      <w:lvlText w:val="%2."/>
      <w:lvlJc w:val="left"/>
      <w:pPr>
        <w:ind w:left="1440" w:hanging="360"/>
      </w:pPr>
    </w:lvl>
    <w:lvl w:ilvl="2" w:tplc="1562BC68">
      <w:start w:val="1"/>
      <w:numFmt w:val="lowerRoman"/>
      <w:lvlText w:val="%3."/>
      <w:lvlJc w:val="right"/>
      <w:pPr>
        <w:ind w:left="2160" w:hanging="180"/>
      </w:pPr>
    </w:lvl>
    <w:lvl w:ilvl="3" w:tplc="842896BE">
      <w:start w:val="1"/>
      <w:numFmt w:val="decimal"/>
      <w:lvlText w:val="%4."/>
      <w:lvlJc w:val="left"/>
      <w:pPr>
        <w:ind w:left="2880" w:hanging="360"/>
      </w:pPr>
    </w:lvl>
    <w:lvl w:ilvl="4" w:tplc="755E31BA">
      <w:start w:val="1"/>
      <w:numFmt w:val="lowerLetter"/>
      <w:lvlText w:val="%5."/>
      <w:lvlJc w:val="left"/>
      <w:pPr>
        <w:ind w:left="3600" w:hanging="360"/>
      </w:pPr>
    </w:lvl>
    <w:lvl w:ilvl="5" w:tplc="F1EC9372">
      <w:start w:val="1"/>
      <w:numFmt w:val="lowerRoman"/>
      <w:lvlText w:val="%6."/>
      <w:lvlJc w:val="right"/>
      <w:pPr>
        <w:ind w:left="4320" w:hanging="180"/>
      </w:pPr>
    </w:lvl>
    <w:lvl w:ilvl="6" w:tplc="ED567A58">
      <w:start w:val="1"/>
      <w:numFmt w:val="decimal"/>
      <w:lvlText w:val="%7."/>
      <w:lvlJc w:val="left"/>
      <w:pPr>
        <w:ind w:left="5040" w:hanging="360"/>
      </w:pPr>
    </w:lvl>
    <w:lvl w:ilvl="7" w:tplc="292E201E">
      <w:start w:val="1"/>
      <w:numFmt w:val="lowerLetter"/>
      <w:lvlText w:val="%8."/>
      <w:lvlJc w:val="left"/>
      <w:pPr>
        <w:ind w:left="5760" w:hanging="360"/>
      </w:pPr>
    </w:lvl>
    <w:lvl w:ilvl="8" w:tplc="9C0846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04D3"/>
    <w:multiLevelType w:val="hybridMultilevel"/>
    <w:tmpl w:val="A57E5D90"/>
    <w:lvl w:ilvl="0" w:tplc="FA868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BCEC6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E4C9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C5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DC2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165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C9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AA05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0F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B0BE2"/>
    <w:multiLevelType w:val="hybridMultilevel"/>
    <w:tmpl w:val="0E66D9CC"/>
    <w:lvl w:ilvl="0" w:tplc="1C8A2F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BD846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4E61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38E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C0A8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A1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182A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5E4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EAB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14C6B"/>
    <w:multiLevelType w:val="multilevel"/>
    <w:tmpl w:val="97CAA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676A05"/>
    <w:multiLevelType w:val="hybridMultilevel"/>
    <w:tmpl w:val="1D466D34"/>
    <w:lvl w:ilvl="0" w:tplc="DC16B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CA6F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A705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4ED6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CCF4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2C0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D6A4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9EE5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BEC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00B2D"/>
    <w:multiLevelType w:val="hybridMultilevel"/>
    <w:tmpl w:val="E930815C"/>
    <w:lvl w:ilvl="0" w:tplc="32E25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4E4D0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31E3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76E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E810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14F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EC3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2C8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527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C6673"/>
    <w:multiLevelType w:val="hybridMultilevel"/>
    <w:tmpl w:val="4E28AA0E"/>
    <w:lvl w:ilvl="0" w:tplc="8FCAE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50AA9C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B0A8C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42E8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E5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D06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1015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203D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C8E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62"/>
    <w:rsid w:val="00CE6F99"/>
    <w:rsid w:val="00E57291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76778-FD79-4561-A3C6-4A0DDDE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4D842C-5A6D-425F-BC97-50830DAA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2021-12-28T10:16:00Z</dcterms:created>
  <dcterms:modified xsi:type="dcterms:W3CDTF">2022-07-25T09:59:00Z</dcterms:modified>
</cp:coreProperties>
</file>